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EDGAR LEHNER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CROMANAL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65 A 18 A 23</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TELÉFONO:4848800 EXT 134</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2021ER40045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CROMANAL SAS identificada con NIT 900079175-5 y cuya sede inscrita fue la ubicada en Carrera 65 A 18 A 23,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9"/>
              <w:gridCol w:w="2772"/>
              <w:gridCol w:w="2797"/>
              <w:tblGridChange w:id="0">
                <w:tblGrid>
                  <w:gridCol w:w="2699"/>
                  <w:gridCol w:w="2772"/>
                  <w:gridCol w:w="2797"/>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CROMANAL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670"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Camilo Rodriguez, asistió al 90 %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21 de los 25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profundizar sobre: justificación de la etapa del proyecto, cronograma de implementación, especificar los posibles proveedores, describir el componente técnico del proyecto (</w:t>
                  </w:r>
                  <w:r w:rsidDel="00000000" w:rsidR="00000000" w:rsidRPr="00000000">
                    <w:rPr>
                      <w:rFonts w:ascii="Arial" w:cs="Arial" w:eastAsia="Arial" w:hAnsi="Arial"/>
                      <w:sz w:val="22"/>
                      <w:szCs w:val="22"/>
                      <w:rtl w:val="0"/>
                    </w:rPr>
                    <w:t xml:space="preserve">número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paneles, </w:t>
                  </w:r>
                  <w:r w:rsidDel="00000000" w:rsidR="00000000" w:rsidRPr="00000000">
                    <w:rPr>
                      <w:rFonts w:ascii="Arial" w:cs="Arial" w:eastAsia="Arial" w:hAnsi="Arial"/>
                      <w:sz w:val="22"/>
                      <w:szCs w:val="22"/>
                      <w:rtl w:val="0"/>
                    </w:rPr>
                    <w:t xml:space="preserve">espacio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requerido, entre otras variables técnicas)</w:t>
                  </w:r>
                </w:p>
              </w:tc>
            </w:tr>
            <w:tr>
              <w:trPr>
                <w:cantSplit w:val="0"/>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20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el número de proveedores cotizados y sobre la identificación del costo total del proyecto, hay unos indicadores tentativos sin embargo a la fecha no es posible identificar resultados asociados al proyecto, y, finalmente se tiene una fecha estimada de implementación del proyecto pero no se identificó un cronograma asociado al primer entregable.</w:t>
                  </w:r>
                </w:p>
              </w:tc>
            </w:tr>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27 de los 30 puntos posibles correspondientes a este entregable. Los criterios tenidos en cuenta para esta entrega fueron los de: avances en la formulación del proyecto respecto al segundo entregable, el estado final del proyecto y la continuidad del mismo, identificando avance sobre la presentación del proyecto a la alta dirección, para su respectiva aprobación; aplazamiento del proyecto por la adquisición de una subestación que </w:t>
                  </w:r>
                  <w:r w:rsidDel="00000000" w:rsidR="00000000" w:rsidRPr="00000000">
                    <w:rPr>
                      <w:rFonts w:ascii="Arial" w:cs="Arial" w:eastAsia="Arial" w:hAnsi="Arial"/>
                      <w:sz w:val="22"/>
                      <w:szCs w:val="22"/>
                      <w:rtl w:val="0"/>
                    </w:rPr>
                    <w:t xml:space="preserve">servirá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como complemento para el proyecto planteado; finalmente, se evidencia interés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83</w:t>
                  </w: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energia solar</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con potencia de 50,3 KWp, integrado por 90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535 W de potencia y 1 inversor  de 50 KW</w:t>
                  </w:r>
                </w:p>
              </w:tc>
            </w:tr>
          </w:tbl>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y evaluación técnico-financiera de un proyecto de generación de energía a partir de tecnología  solar fotovoltaica. Sin embargo, no asistió a la sesión de socialización del estado final del proyecto.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C">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wK4KXnszTzN1BhD50shXYiQGHQ==">AMUW2mWi8kcGCzh3lhN2y4eABTW6mKGPvbksecQ6yigH1F/Q49hEbj6cmPj0anoPKPQzUUeW6odB0taXWLZ5wFR28h4YCy0JT5u69rhcViM3JnhBplKZ0d0=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2021-11-26T15:15:00Z</dcterms:created>
  <dc:creator>Jorge Manrique</dc:creator>
</cp:coreProperties>
</file>